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83" w:rsidRPr="00893283" w:rsidRDefault="00893283" w:rsidP="00893283">
      <w:pPr>
        <w:autoSpaceDE w:val="0"/>
        <w:autoSpaceDN w:val="0"/>
        <w:adjustRightInd w:val="0"/>
        <w:ind w:firstLine="240"/>
        <w:jc w:val="both"/>
        <w:rPr>
          <w:color w:val="000000"/>
          <w:sz w:val="22"/>
          <w:szCs w:val="22"/>
        </w:rPr>
      </w:pPr>
      <w:bookmarkStart w:id="0" w:name="_GoBack"/>
      <w:bookmarkEnd w:id="0"/>
    </w:p>
    <w:tbl>
      <w:tblPr>
        <w:tblW w:w="0" w:type="auto"/>
        <w:tblInd w:w="84" w:type="dxa"/>
        <w:tblLayout w:type="fixed"/>
        <w:tblCellMar>
          <w:left w:w="84" w:type="dxa"/>
          <w:right w:w="84" w:type="dxa"/>
        </w:tblCellMar>
        <w:tblLook w:val="0000"/>
      </w:tblPr>
      <w:tblGrid>
        <w:gridCol w:w="4395"/>
        <w:gridCol w:w="312"/>
        <w:gridCol w:w="792"/>
        <w:gridCol w:w="324"/>
        <w:gridCol w:w="1740"/>
        <w:gridCol w:w="636"/>
        <w:gridCol w:w="648"/>
        <w:gridCol w:w="732"/>
      </w:tblGrid>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 xml:space="preserve">УТВЕРЖДАЮ </w:t>
            </w: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single" w:sz="2" w:space="0" w:color="auto"/>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(руководитель организации (предприятия))</w:t>
            </w: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5184"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D4304">
        <w:tc>
          <w:tcPr>
            <w:tcW w:w="4395"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312"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792" w:type="dxa"/>
            <w:tcBorders>
              <w:top w:val="nil"/>
              <w:left w:val="nil"/>
              <w:bottom w:val="single" w:sz="2" w:space="0" w:color="auto"/>
              <w:right w:val="nil"/>
            </w:tcBorders>
          </w:tcPr>
          <w:p w:rsidR="00893283" w:rsidRPr="00893283" w:rsidRDefault="00893283" w:rsidP="004D4304">
            <w:pPr>
              <w:autoSpaceDE w:val="0"/>
              <w:autoSpaceDN w:val="0"/>
              <w:adjustRightInd w:val="0"/>
              <w:jc w:val="center"/>
              <w:rPr>
                <w:color w:val="000000"/>
                <w:sz w:val="22"/>
                <w:szCs w:val="22"/>
              </w:rPr>
            </w:pPr>
          </w:p>
        </w:tc>
        <w:tc>
          <w:tcPr>
            <w:tcW w:w="324" w:type="dxa"/>
            <w:tcBorders>
              <w:top w:val="nil"/>
              <w:left w:val="nil"/>
              <w:bottom w:val="nil"/>
              <w:right w:val="nil"/>
            </w:tcBorders>
          </w:tcPr>
          <w:p w:rsidR="00893283" w:rsidRPr="00893283" w:rsidRDefault="00893283" w:rsidP="004D4304">
            <w:pPr>
              <w:autoSpaceDE w:val="0"/>
              <w:autoSpaceDN w:val="0"/>
              <w:adjustRightInd w:val="0"/>
              <w:jc w:val="center"/>
              <w:rPr>
                <w:color w:val="000000"/>
                <w:sz w:val="22"/>
                <w:szCs w:val="22"/>
              </w:rPr>
            </w:pPr>
            <w:r w:rsidRPr="00893283">
              <w:rPr>
                <w:color w:val="000000"/>
                <w:sz w:val="22"/>
                <w:szCs w:val="22"/>
              </w:rPr>
              <w:t>"</w:t>
            </w:r>
          </w:p>
        </w:tc>
        <w:tc>
          <w:tcPr>
            <w:tcW w:w="1740" w:type="dxa"/>
            <w:tcBorders>
              <w:top w:val="nil"/>
              <w:left w:val="nil"/>
              <w:bottom w:val="single" w:sz="2" w:space="0" w:color="auto"/>
              <w:right w:val="nil"/>
            </w:tcBorders>
          </w:tcPr>
          <w:p w:rsidR="00893283" w:rsidRPr="00893283" w:rsidRDefault="00893283" w:rsidP="004D4304">
            <w:pPr>
              <w:autoSpaceDE w:val="0"/>
              <w:autoSpaceDN w:val="0"/>
              <w:adjustRightInd w:val="0"/>
              <w:jc w:val="center"/>
              <w:rPr>
                <w:color w:val="000000"/>
                <w:sz w:val="22"/>
                <w:szCs w:val="22"/>
              </w:rPr>
            </w:pPr>
          </w:p>
        </w:tc>
        <w:tc>
          <w:tcPr>
            <w:tcW w:w="636"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 xml:space="preserve">202 </w:t>
            </w:r>
          </w:p>
        </w:tc>
        <w:tc>
          <w:tcPr>
            <w:tcW w:w="648"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732"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г.</w:t>
            </w:r>
          </w:p>
        </w:tc>
      </w:tr>
    </w:tbl>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jc w:val="center"/>
        <w:rPr>
          <w:b/>
          <w:bCs/>
          <w:color w:val="000000"/>
          <w:sz w:val="22"/>
          <w:szCs w:val="22"/>
        </w:rPr>
      </w:pPr>
      <w:r w:rsidRPr="00893283">
        <w:rPr>
          <w:b/>
          <w:bCs/>
          <w:color w:val="000000"/>
          <w:sz w:val="22"/>
          <w:szCs w:val="22"/>
        </w:rPr>
        <w:t>ПРОГРАММА ПРОВЕДЕНИЯ ПЕРВИЧНОГО ПРОТИВОПОЖАРНОГО ИНСТРУКТАЖА</w:t>
      </w:r>
    </w:p>
    <w:p w:rsidR="00893283" w:rsidRPr="00893283" w:rsidRDefault="00893283" w:rsidP="00893283">
      <w:pPr>
        <w:autoSpaceDE w:val="0"/>
        <w:autoSpaceDN w:val="0"/>
        <w:adjustRightInd w:val="0"/>
        <w:jc w:val="center"/>
        <w:rPr>
          <w:b/>
          <w:bCs/>
          <w:color w:val="000000"/>
          <w:sz w:val="22"/>
          <w:szCs w:val="22"/>
        </w:rPr>
      </w:pPr>
      <w:r w:rsidRPr="00893283">
        <w:rPr>
          <w:b/>
          <w:bCs/>
          <w:color w:val="000000"/>
          <w:sz w:val="22"/>
          <w:szCs w:val="22"/>
        </w:rPr>
        <w:t>(разработана в соответствии с требованиями Приложения № 2 к приказу МЧС России от 16 декабря 2024 года № 1120)</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1) 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Работники обязаны соблюдать требования пожарной безопасности, установленные Правилами противопожарного режима в Российской Федерации, утвержденными Постановлением Правительства РФ от 16.09.2020 № 1479, и инструкциями о мерах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Права, обязанности и ответственность в области пожарной безопасности работников определяются в соответствии с Федеральным законом от 21.12.1994 № 69-ФЗ "О пожарной безопасности", Трудовым кодексом РФ, Правилами противопожарного режима в Российской Федерации, утвержденными Постановлением Правительства РФ от 16.09.2020 № 1479, КоАП РФ, УК РФ, и локальными нормативными актами.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Все работники несут ответственность за нарушение требований пожарной безопасности в соответствии с действующим законодательством РФ.</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соответствии со статьей 38 Федерального закона от 21.12.1994 № 69-ФЗ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собственники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руководители федеральных органов исполнительной власти;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руководители органов местного самоуправления;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лица, уполномоченные владеть, пользоваться или распоряжаться имуществом, в том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числе руководители организаций;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лица, в установленном порядке назначенные ответственными за обеспечение пожарной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должностные лица в пределах их компетенции.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Лица, указанные в части 1 статьи 38 Федерального закона от 21.12.1994 № 69-ФЗ "О пожарной безопасности",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lastRenderedPageBreak/>
        <w:t>Административная ответственность за нарушения требований пожарной безопасности указана в ст.20.4 КоАП РФ</w:t>
      </w:r>
      <w:r w:rsidRPr="00893283">
        <w:rPr>
          <w:color w:val="000000"/>
          <w:sz w:val="22"/>
          <w:szCs w:val="22"/>
        </w:rPr>
        <w:t>, ст.11.16 КоАП РФ, ст.8.32 КоАП РФ.</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Уголовная ответственность за нарушения требований пожарной безопасности указана в ст.219 УК РФ</w:t>
      </w:r>
      <w:r w:rsidRPr="00893283">
        <w:rPr>
          <w:color w:val="000000"/>
          <w:sz w:val="22"/>
          <w:szCs w:val="22"/>
        </w:rPr>
        <w:t>.</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2) 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До работников доводятся инструкции о мерах пожарной безопасности, действующие на рабочих местах данных работников (перечисляются инструкции о мерах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Согласно п.2</w:t>
      </w:r>
      <w:r w:rsidRPr="00893283">
        <w:rPr>
          <w:b/>
          <w:bCs/>
          <w:color w:val="000000"/>
          <w:sz w:val="22"/>
          <w:szCs w:val="22"/>
        </w:rPr>
        <w:t xml:space="preserve">, </w:t>
      </w:r>
      <w:r w:rsidRPr="00893283">
        <w:rPr>
          <w:color w:val="000000"/>
          <w:sz w:val="22"/>
          <w:szCs w:val="22"/>
        </w:rPr>
        <w:t>п.392</w:t>
      </w:r>
      <w:r w:rsidRPr="00893283">
        <w:rPr>
          <w:b/>
          <w:bCs/>
          <w:color w:val="000000"/>
          <w:sz w:val="22"/>
          <w:szCs w:val="22"/>
        </w:rPr>
        <w:t xml:space="preserve">, </w:t>
      </w:r>
      <w:r w:rsidRPr="00893283">
        <w:rPr>
          <w:color w:val="000000"/>
          <w:sz w:val="22"/>
          <w:szCs w:val="22"/>
        </w:rPr>
        <w:t>п.393</w:t>
      </w:r>
      <w:r w:rsidRPr="00893283">
        <w:rPr>
          <w:b/>
          <w:bCs/>
          <w:color w:val="000000"/>
          <w:sz w:val="22"/>
          <w:szCs w:val="22"/>
        </w:rPr>
        <w:t xml:space="preserve">, </w:t>
      </w:r>
      <w:r w:rsidRPr="00893283">
        <w:rPr>
          <w:color w:val="000000"/>
          <w:sz w:val="22"/>
          <w:szCs w:val="22"/>
        </w:rPr>
        <w:t>п.394 Правил противопожарного режима в Российской Федерации</w:t>
      </w:r>
      <w:r w:rsidRPr="00893283">
        <w:rPr>
          <w:b/>
          <w:bCs/>
          <w:color w:val="000000"/>
          <w:sz w:val="22"/>
          <w:szCs w:val="22"/>
        </w:rPr>
        <w:t xml:space="preserve">, утвержденных </w:t>
      </w:r>
      <w:r w:rsidRPr="00893283">
        <w:rPr>
          <w:color w:val="000000"/>
          <w:sz w:val="22"/>
          <w:szCs w:val="22"/>
        </w:rPr>
        <w:t>Постановлением Правительства РФ от 16.09.2020 № 1479,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руководителем организации утверждается инструкция о мерах пожарной безопасности в соответствии с требованиями, установленными разделом XVIII Правил противопожарного режима в Российской Федерации, с учетом специфики взрывопожароопасных и пожароопасных помещений в указанных зданиях, сооружениях.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 инструкции о мерах пожарной безопасности отражены следующие вопросы: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порядок и нормы хранения и транспортировки пожаровзрывоопасных веществ и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г) порядок осмотра и закрытия помещений по окончании работы;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 расположение мест для курения, применения открытого огня, проезда транспорта, проведения огневых или иных пожароопасных работ;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е) порядок сбора, хранения и удаления горючих веществ и материалов, содержания и хранения спецодежды;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ж) допустимое количество единовременно находящихся в помещениях сырья, полуфабрикатов и готовой продукции;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з) порядок и периодичность уборки горючих отходов и пыли, хранения промасленной спецодежды, ветоши;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 предельные показания контрольно-измерительных приборов (манометры, термометры и др.), отклонения от которых могут вызвать пожар или взрыв;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 допустимое (предельное) количество людей, которые могут одновременно находиться на объекте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м) перечень должностных лиц, являющихся дежурным персоналом на объекте защиты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В инструкции о мерах пожарной безопасности указываются лица, ответственные за обеспечение пожарной безопасности, в том числе за: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а) сообщение о возникновении пожара в пожарную охрану и оповещение (информирование) руководства, дежурных и аварийных служб объекта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б) организацию спасения людей с использованием для этого имеющихся сил и технических средств;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проверку включения автоматических систем противопожарной защиты (систем оповещения людей о пожаре, пожаротушения, противодымной защиты);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ж) удаление за пределы опасной зоны всех работников, не задействованных в тушении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и) обеспечение соблюдения требований безопасности работниками, принимающими участие в тушении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организацию одновременно с тушением пожара эвакуации и защиты материальных ценностей;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л) встречу подразделений пожарной охраны и оказание помощи в выборе кратчайшего пути для подъезда к очагу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 Около 60 процентов пожаров на предприятиях происходит в результате небрежности или грубого нарушения работниками правил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Пожар</w:t>
      </w:r>
      <w:r w:rsidRPr="00893283">
        <w:rPr>
          <w:color w:val="000000"/>
          <w:sz w:val="22"/>
          <w:szCs w:val="22"/>
        </w:rPr>
        <w:t xml:space="preserve"> - неконтролируемое горение, причиняющее материальный ущерб, вред жизни и здоровью граждан, интересам общества и государства. Пожарная безопасность - это состояние защищенности личности, имущества, общества и государства от пожаров. Меры пожарной безопасности - действия по обеспечению пожарной безопасности, в том числе по выполнению требований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Причины возникновения пожаров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Причинами возникновения пожаров чаще всего являются: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неосторожное обращение с огнем;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несоблюдение правил эксплуатации производственного оборудования и электрических устройств;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самовозгорание веществ и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разряды статического электричества;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грозовые разряды;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поджоги.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Для того чтобы произошло возгорание, необходимо наличие четырех условий: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Горючие вещества и материалы.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Источник зажигания - открытый огонь, химическая реакция, электроток.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Наличие окислителя, например, кислорода воздуха.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Наличие путей распространения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Стадии пожара:</w:t>
      </w:r>
      <w:r w:rsidRPr="00893283">
        <w:rPr>
          <w:color w:val="000000"/>
          <w:sz w:val="22"/>
          <w:szCs w:val="22"/>
        </w:rPr>
        <w:t xml:space="preserve"> 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 Фаза выгорания. В течение 10 минут - максимальная скорость пожара. 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 В это время происходит обрушение выгоревших конструкций.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Основные опасные и вредные факторы, возникающие при пожаре: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пламя и искры;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тепловой поток;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повышенная температура окружающей среды;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повышенная концентрация токсичных продуктов горения и термического разложения;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пониженная концентрация кислорода;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снижение видимости в дыму.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К сопутствующим проявлениям опасных факторов пожара относятся: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вынос высокого напряжения на токопроводящие части технологических установок, оборудования, агрегатов, изделий и иного имущества;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опасные факторы взрыва, происшедшего вследствие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воздействие огнетушащих веществ. Огнетушители составляют большую долю всех первичных средств тушения пожара. 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 В зависимости от вида применяемых огнетушащих веществ (ОТВ) огнетушители подразделятся на: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порошковые (ОП);</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углекислотные (ОУ). 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 Дополнительные огнетушители устанавливаются для обеспечения надежной зашиты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 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 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 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 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 На время ремонта или перезарядки огнетушители заменяются соответствующим количеством однотипных заряженных огнетушителей. 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 Чтобы во время тушения избежать поражения электрическим током, необходимо строго соблюдать безопасные расстояния. Тушение пожаров электроустановок под напряжением водой запрещено.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применения оборудования пожарных щитов.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первичных средств пожаротушения, спасательных и медицинских средств, средств связи.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Непосредственный руководитель знакомит работника, принятого на работу: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ближайшим планом эвакуации;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местами расположения первичных средств пожаротушения и гидрантов;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 путями обхода соответствующих помещений и территорий, показывает расположение эвакуационных путей и выходов.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Порошковые огнетушители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Наибольшее распространение имеют порошковые огнетушители, обладающие хорошей огнетушащей эффективностью. Порошковые огнетушители являются наиболее универсальными как по области применения, так и по рабочему диапазону температур (от -50 до +50°C). 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 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самом начале тушения нельзя слишком близко подходить к очагу пожара: из-за высокой скорости порошковой струи происходит сильная эжекция воздуха, который только раздувает пламя над очагом. 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 Для тушения очага пожара с большого расстояния целесообразно применять порошковый огнетушитель с коническим или цилиндрическим насадком, а с малого расстояния лучше использовать огнетушитель со щелевым насадком, дающим плоскую расширяющуюся струю. Порошковые огнетушители имеют и значительные минусы: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непригодны для тушения тлеющих материалов;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закачными огнетушителями;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опасны для здоровья людей ввиду высокой запыленности в результате образования порошкового облака в процессе тушения;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наносят ущерб оборудованию и материалам из-за значительного загрязнения порошком защищаемого объекта;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возможны отказы в работе вследствие образования пробок из-за способности к комкованию и слеживанию порошков при хранении;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 появление разрядов статического электричества при работе порошковых огнетушителей с насадком, выполненным из полимерных материалов, что сужает область их применения.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Углекислотные огнетушители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 Наибольшее применение нашли для тушения пожаров в электроустановках, находящихся под напряжением до 10000 В, в музеях, архивах и библиотеках. Углекислотные огнетушители (в зависимости от содержания паров воды в заряде) выпускаются для работы в диапазоне температур от -20 до +50°C и тушения электроустановок, находящихся под напряжением до 1000 В, или для работы в диапазоне температур от -40 до +50°C и тушения электроустановок, находящихся под напряжением до 10000 В. Недостатки углекислотных огнетушителей: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высоких огнетушащих концентрациях опасны для здоровья людей;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возможно появление разрядов статического электричества на раструбе при выходе огнетушащего состава из огнетушителя;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опасность обморожения при соприкосновении с металлическими деталями огнетушителя или струей.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Согласно статье 8 Федерального закона № 123-ФЗ "Технический регламент о требованиях пожарной безопасности"</w:t>
      </w:r>
      <w:r w:rsidRPr="00893283">
        <w:rPr>
          <w:color w:val="000000"/>
          <w:sz w:val="22"/>
          <w:szCs w:val="22"/>
        </w:rPr>
        <w:t>, пожары классифицируются по виду горючего материала и подразделяются на следующие основные классы: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пожары твердых горючих веществ и материалов (A);</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пожары горючих жидкостей или плавящихся твердых веществ и материалов (B);</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пожары газов (C);</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пожары металлов (D);</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пожары горючих веществ и материалов электроустановок, находящихся под напряжением (E);</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пожары ядерных материалов, радиоактивных отходов и радиоактивных веществ (F).</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Дополнительные классы и подклассы пожаров могут быть установлены нормативными документами по пожарной безопасности.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Работникам при обнаружении пожара или признаков горения в здании, помещении (задымление, запах гари, повышение температуры воздуха и др.) необходимо: а)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б) принять посильные меры по эвакуации людей и тушению пожара первичными средствами пожаротушения (огнетушителями). Способы сообщения о пожаре: автоматическая система оповещения людей при пожаре, голосовое оповещение лицом, обнаружившим пожар (признаки пожара). При пожаре необходимо покидать помещения, используя наиболее безопасные пути эвакуации. Ответственным лицам (к примеру, руководители структурных подразделений) при обнаружении пожара или признаков горения в помещениях (задымление, запах гари, повышение температуры воздуха и др.) необходимо: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и оповестить руководителя организации;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прекратить все работы в помещениях организации;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организовать эвакуацию работников и посетителей в безопасную зону (на улицу);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 возможности обесточить от электроэнергии здания и сооружения с соблюдением требований охраны труда;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принять посильные меры по эвакуации людей и тушению пожара первичными средствами пожаротушения;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встретить подразделения пожарной охраны и сообщить необходимую информацию о пожаре (место пожара (признаки пожара), сведения о людях, находящихся в помещениях во время пожара, место нахождения источника водоснабжения, места размещения газовых баллонов и емкостей с горючими жидкостями);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случае возникновения пожара при проведении огневых работ сообщить пожарным подразделениям о месте нахождения газовых баллонов.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6) 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100°C человек теряет сознание и погибает через несколько минут. Опасны также ожоги кожи. У человека, получившего ожоги второй степени - 30 процентов поверхности тела, мало шансов выжить. Соблюдение мер безопасности при пожаре чрезвычайно важно. Вот некоторые из них: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ее верхнюю часть, постепенно опускаясь.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пожаре в современных зданиях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 процентах случаев гибель людей на пожарах вызывается отравлением оксидом углерода и недостатком кислорода.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задымленного помещения накиньте на лицо полотенце или платок, смоченные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7) способы оказания первой помощи пострадавшим при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Существует 4 степени ожогов:</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 степень - покраснение кожи, отёчность. Самая легкая степень ожога.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II степень - появление пузырей, заполненных прозрачной жидкостью (плазмой крови).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III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IV степень - обугливание тканей. Это самая тяжёлая форма ожога, при которой повреждаются кожа, мышцы, сухожилия, кости. Первым фактором, влияющим на тяжесть состояния пострадавшего, является площадь ожога. Определить площадь ожога можно с помощью "правила девяток":</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когда кожная поверхность ладони составляет 1%,</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руки составляет 9% поверхности тела,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ноги - 18%,</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грудной клетки спереди и сзади - по 9%,</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кожная поверхность живота и поясницы живота и поясницы - по 9%.</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Ожог промежности и гениталий- 1% площади ожога. Ожоги этих областей являются шокогенными повреждениями.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При больших по площади ожогах происходит опасное для жизни обезвоживание организма.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Алгоритм действий при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Прекратить воздействие высокой температуры на пострадавшего, погасить пламя на его одежде, удалить пострадавшего из зоны поражения.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Уточнить характер ожога (ожог пламенем, горячей водой, химическими веществами и т.д.), а также площадь и глубину. Пострадавшего завернуть в чистую простыню и срочно доставить в медсанчасть.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Провести транспортную иммобилизацию, при которой обожжённые участки тела должны быть в максимально растянутом положении.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небольшом ожоге обожжённый участок можно поместить под струю холодной воды из крана на 10-15 минут, при обширных ожогах этого делать нельзя.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Одежду в местах ожога лучше разрезать и наложить вокруг ожога асептическую повязку, вату при этом накладывать нельзя.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При поражении пальцев переложить их бинтом.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Обожженную часть тела зафиксировать, она должна находиться сверху.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При транспортировке раненого в лечебное учреждение обеспечить ему покой.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оставлять пострадавшего одного;</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наносить на обожжённое место мазь, крем, растительное масло, присыпать порошками;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прокалывать пузыри;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снимать остатки одежды с ожоговой поверхности;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ожоге полости рта давать пить и есть.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Электрические ожоги (поражение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 Существует несколько вариантов прохождения электрического тока по телу: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верхняя петля прохождения тока (через сердце);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нижняя петля прохождения тока (через ноги);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полная (W-образная петля прохождения тока).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Наиболее опасна та петля, путь которой лежит через сердце. Характер повреждений при поражении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бытового напряжения до 380 В - появляются метки на коже в виде кратеров, иногда внезапная остановка сердца.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напряжения до 1000 В - судороги, спазм дыхательной мускулатуры, отёк мозга, внезапная остановка сердца.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током напряжения свыше 10000 В - электрические ожоги и обугливание кожи, разрыв органов, опасные кровотечения, переломы костей и даже отрывы конечностей.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ЗАПОМНИТЕ!</w:t>
      </w:r>
      <w:r w:rsidRPr="00893283">
        <w:rPr>
          <w:color w:val="000000"/>
          <w:sz w:val="22"/>
          <w:szCs w:val="22"/>
        </w:rPr>
        <w:t xml:space="preserve"> Крайне опасно касаться оборванных висящих или лежаших на земле проводов или даже приближаться к ним. Электротравму возможно получить и в нескольких метрах от провода за счёт шагового напряжения. Оказание первой помощи при поражении электрическим током: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Освободить пострадавшего от действия электрического тока.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Убедиться в отсутствии реакции зрачка на свет.</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Убедиться в отсутствии пульса.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внезапной остановке сердца нанести прекардиальный удар по грудине.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Приступить к ингаляции кислородом.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Приложить к голове холод.</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Приподнять ноги.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Сделать искусственную вентиляцию лёгких.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9. Продолжить реанимацию.</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10. Вызвать скорую помощь.</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11. При ожогах и ранах - наложить стерильные повязки.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 переломах костей конечностей - табельные или импровизированные шины. Химические ожоги. 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Алгоритм действий при химических ожогах: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1. Определить вид химического вещества.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2. Поражённое место промывают большим количеством проточной холодной воды из-под крана в течение 15-20 мин.</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3. 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4. 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5. При поражениях щелочью места ожогов промыть под струей холодной воды.</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6. На место ожога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7. При ожогах, вызванных фосфорорганическими веществами, обожжённую часть промыть под сильной струёй воды и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8. При ожогах негашеной известью удалить её частицы и наложить асептическую повязку.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смывать химические соединения, которые воспламеняются или взрываются при соприкосновении с водой;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обрабатывать пораженную кожу смоченными водой тампонами, салфетками, так как при этом химические соединения еще больше втираются в кожу.</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8) меры пожарной безопасности в зданиях для проживания людей.</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 xml:space="preserve">Согласно </w:t>
      </w:r>
      <w:r w:rsidRPr="00893283">
        <w:rPr>
          <w:color w:val="000000"/>
          <w:sz w:val="22"/>
          <w:szCs w:val="22"/>
        </w:rPr>
        <w:t>Разделу IV "Здания для проживания людей" Правил противопожарного режима в Российской Федерации</w:t>
      </w:r>
      <w:r w:rsidRPr="00893283">
        <w:rPr>
          <w:b/>
          <w:bCs/>
          <w:color w:val="000000"/>
          <w:sz w:val="22"/>
          <w:szCs w:val="22"/>
        </w:rPr>
        <w:t xml:space="preserve"> установлены следующие требования: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Запрещается использование открытого огня на балконах (лоджиях) квартир, жилых комнат общежитий и номеров гостиниц.</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 При использовании бытовых газовых приборов запрещается: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эксплуатация бытовых газовых приборов при утечке газа;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присоединение деталей газовой арматуры с помощью искрообразующего инструмента;</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проверка герметичности соединений с помощью источников открытого огня.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Следует учитывать, что гибель людей в жилом секторе составляет в среднем 90% от общего числа погибших на пожарах в Российской Федерации.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i/>
          <w:iCs/>
          <w:color w:val="000000"/>
          <w:sz w:val="22"/>
          <w:szCs w:val="22"/>
        </w:rPr>
        <w:t>9) 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 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 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 Эвакуация не должна мешать действиям пожарных по тушению пожара. Эвакуируемые выводятся из здания, в теплое время года на улицу, в безопасное место. В зимнее время года - эвакуируются в ближайшее, заранее определенное здание вне зоны воздействия опасных факторов пожара. 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 из здания. 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здания на предмет установления людей, его не покинувших.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color w:val="000000"/>
          <w:sz w:val="22"/>
          <w:szCs w:val="22"/>
        </w:rPr>
        <w:t>В ходе практической тренировки производится отработка умений пользоваться первичными средствами пожаротушения, в том числе огнетушителями, покрывалами для изоляции очага возгорания,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p w:rsidR="00893283" w:rsidRPr="00893283" w:rsidRDefault="00893283" w:rsidP="004D4304">
      <w:pPr>
        <w:autoSpaceDE w:val="0"/>
        <w:autoSpaceDN w:val="0"/>
        <w:adjustRightInd w:val="0"/>
        <w:ind w:firstLine="567"/>
        <w:jc w:val="both"/>
        <w:rPr>
          <w:color w:val="000000"/>
          <w:sz w:val="22"/>
          <w:szCs w:val="22"/>
        </w:rPr>
      </w:pPr>
    </w:p>
    <w:p w:rsidR="00893283" w:rsidRPr="00893283" w:rsidRDefault="00893283" w:rsidP="004D4304">
      <w:pPr>
        <w:autoSpaceDE w:val="0"/>
        <w:autoSpaceDN w:val="0"/>
        <w:adjustRightInd w:val="0"/>
        <w:ind w:firstLine="567"/>
        <w:jc w:val="both"/>
        <w:rPr>
          <w:color w:val="000000"/>
          <w:sz w:val="22"/>
          <w:szCs w:val="22"/>
        </w:rPr>
      </w:pPr>
      <w:r w:rsidRPr="00893283">
        <w:rPr>
          <w:b/>
          <w:bCs/>
          <w:color w:val="000000"/>
          <w:sz w:val="22"/>
          <w:szCs w:val="22"/>
        </w:rPr>
        <w:t xml:space="preserve">В соответствии с </w:t>
      </w:r>
      <w:r w:rsidRPr="00893283">
        <w:rPr>
          <w:color w:val="000000"/>
          <w:sz w:val="22"/>
          <w:szCs w:val="22"/>
        </w:rPr>
        <w:t>п.9 Правил противопожарного режима в Российской Федерации</w:t>
      </w:r>
      <w:r w:rsidRPr="00893283">
        <w:rPr>
          <w:b/>
          <w:bCs/>
          <w:color w:val="000000"/>
          <w:sz w:val="22"/>
          <w:szCs w:val="22"/>
        </w:rPr>
        <w:t xml:space="preserve">, утвержденных </w:t>
      </w:r>
      <w:r w:rsidRPr="00893283">
        <w:rPr>
          <w:color w:val="000000"/>
          <w:sz w:val="22"/>
          <w:szCs w:val="22"/>
        </w:rPr>
        <w:t>Постановлением Правительства РФ от 16.09.2020 № 1479</w:t>
      </w:r>
      <w:r w:rsidRPr="00893283">
        <w:rPr>
          <w:b/>
          <w:bCs/>
          <w:color w:val="000000"/>
          <w:sz w:val="22"/>
          <w:szCs w:val="22"/>
        </w:rPr>
        <w:t>,</w:t>
      </w:r>
      <w:r w:rsidRPr="00893283">
        <w:rPr>
          <w:color w:val="000000"/>
          <w:sz w:val="22"/>
          <w:szCs w:val="22"/>
        </w:rPr>
        <w:t xml:space="preserve">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893283" w:rsidRPr="00893283" w:rsidRDefault="00893283" w:rsidP="00893283">
      <w:pPr>
        <w:autoSpaceDE w:val="0"/>
        <w:autoSpaceDN w:val="0"/>
        <w:adjustRightInd w:val="0"/>
        <w:ind w:firstLine="240"/>
        <w:jc w:val="both"/>
        <w:rPr>
          <w:color w:val="000000"/>
          <w:sz w:val="22"/>
          <w:szCs w:val="22"/>
        </w:rPr>
      </w:pPr>
    </w:p>
    <w:p w:rsidR="00893283" w:rsidRPr="00893283" w:rsidRDefault="00893283" w:rsidP="00893283">
      <w:pPr>
        <w:autoSpaceDE w:val="0"/>
        <w:autoSpaceDN w:val="0"/>
        <w:adjustRightInd w:val="0"/>
        <w:ind w:firstLine="240"/>
        <w:jc w:val="both"/>
        <w:rPr>
          <w:color w:val="000000"/>
          <w:sz w:val="22"/>
          <w:szCs w:val="22"/>
        </w:rPr>
      </w:pPr>
    </w:p>
    <w:tbl>
      <w:tblPr>
        <w:tblW w:w="0" w:type="auto"/>
        <w:tblInd w:w="72" w:type="dxa"/>
        <w:tblLayout w:type="fixed"/>
        <w:tblCellMar>
          <w:left w:w="72" w:type="dxa"/>
          <w:right w:w="72" w:type="dxa"/>
        </w:tblCellMar>
        <w:tblLook w:val="0000"/>
      </w:tblPr>
      <w:tblGrid>
        <w:gridCol w:w="300"/>
        <w:gridCol w:w="444"/>
        <w:gridCol w:w="300"/>
        <w:gridCol w:w="1476"/>
        <w:gridCol w:w="624"/>
        <w:gridCol w:w="468"/>
        <w:gridCol w:w="2064"/>
        <w:gridCol w:w="3963"/>
      </w:tblGrid>
      <w:tr w:rsidR="00893283" w:rsidRPr="00893283" w:rsidTr="0042082F">
        <w:tc>
          <w:tcPr>
            <w:tcW w:w="9639" w:type="dxa"/>
            <w:gridSpan w:val="8"/>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Разработал:</w:t>
            </w:r>
          </w:p>
        </w:tc>
      </w:tr>
      <w:tr w:rsidR="00893283" w:rsidRPr="00893283" w:rsidTr="0042082F">
        <w:tc>
          <w:tcPr>
            <w:tcW w:w="9639" w:type="dxa"/>
            <w:gridSpan w:val="8"/>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single" w:sz="2" w:space="0" w:color="auto"/>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(должность)</w:t>
            </w: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5676" w:type="dxa"/>
            <w:gridSpan w:val="7"/>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r>
      <w:tr w:rsidR="00893283" w:rsidRPr="00893283" w:rsidTr="0042082F">
        <w:tc>
          <w:tcPr>
            <w:tcW w:w="5676" w:type="dxa"/>
            <w:gridSpan w:val="7"/>
            <w:tcBorders>
              <w:top w:val="nil"/>
              <w:left w:val="nil"/>
              <w:bottom w:val="nil"/>
              <w:right w:val="nil"/>
            </w:tcBorders>
          </w:tcPr>
          <w:p w:rsidR="00893283" w:rsidRPr="00893283" w:rsidRDefault="00893283" w:rsidP="00893283">
            <w:pPr>
              <w:autoSpaceDE w:val="0"/>
              <w:autoSpaceDN w:val="0"/>
              <w:adjustRightInd w:val="0"/>
              <w:jc w:val="center"/>
              <w:rPr>
                <w:color w:val="000000"/>
                <w:sz w:val="22"/>
                <w:szCs w:val="22"/>
              </w:rPr>
            </w:pPr>
            <w:r w:rsidRPr="00893283">
              <w:rPr>
                <w:color w:val="000000"/>
                <w:sz w:val="22"/>
                <w:szCs w:val="22"/>
              </w:rPr>
              <w:t>(фамилия, инициалы) (подпись)</w:t>
            </w:r>
          </w:p>
          <w:p w:rsidR="00893283" w:rsidRPr="00893283" w:rsidRDefault="00893283" w:rsidP="00893283">
            <w:pPr>
              <w:autoSpaceDE w:val="0"/>
              <w:autoSpaceDN w:val="0"/>
              <w:adjustRightInd w:val="0"/>
              <w:jc w:val="center"/>
              <w:rPr>
                <w:color w:val="000000"/>
                <w:sz w:val="22"/>
                <w:szCs w:val="22"/>
              </w:rPr>
            </w:pP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r w:rsidR="00893283" w:rsidRPr="00893283" w:rsidTr="0042082F">
        <w:tc>
          <w:tcPr>
            <w:tcW w:w="300"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444"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300"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w:t>
            </w:r>
          </w:p>
        </w:tc>
        <w:tc>
          <w:tcPr>
            <w:tcW w:w="1476"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624"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 xml:space="preserve">20 </w:t>
            </w:r>
          </w:p>
        </w:tc>
        <w:tc>
          <w:tcPr>
            <w:tcW w:w="468" w:type="dxa"/>
            <w:tcBorders>
              <w:top w:val="nil"/>
              <w:left w:val="nil"/>
              <w:bottom w:val="single" w:sz="2" w:space="0" w:color="auto"/>
              <w:right w:val="nil"/>
            </w:tcBorders>
          </w:tcPr>
          <w:p w:rsidR="00893283" w:rsidRPr="00893283" w:rsidRDefault="00893283" w:rsidP="00893283">
            <w:pPr>
              <w:autoSpaceDE w:val="0"/>
              <w:autoSpaceDN w:val="0"/>
              <w:adjustRightInd w:val="0"/>
              <w:rPr>
                <w:color w:val="000000"/>
                <w:sz w:val="22"/>
                <w:szCs w:val="22"/>
              </w:rPr>
            </w:pPr>
          </w:p>
        </w:tc>
        <w:tc>
          <w:tcPr>
            <w:tcW w:w="2064"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r w:rsidRPr="00893283">
              <w:rPr>
                <w:color w:val="000000"/>
                <w:sz w:val="22"/>
                <w:szCs w:val="22"/>
              </w:rPr>
              <w:t>г.</w:t>
            </w:r>
          </w:p>
        </w:tc>
        <w:tc>
          <w:tcPr>
            <w:tcW w:w="3963" w:type="dxa"/>
            <w:tcBorders>
              <w:top w:val="nil"/>
              <w:left w:val="nil"/>
              <w:bottom w:val="nil"/>
              <w:right w:val="nil"/>
            </w:tcBorders>
          </w:tcPr>
          <w:p w:rsidR="00893283" w:rsidRPr="00893283" w:rsidRDefault="00893283" w:rsidP="00893283">
            <w:pPr>
              <w:autoSpaceDE w:val="0"/>
              <w:autoSpaceDN w:val="0"/>
              <w:adjustRightInd w:val="0"/>
              <w:rPr>
                <w:color w:val="000000"/>
                <w:sz w:val="22"/>
                <w:szCs w:val="22"/>
              </w:rPr>
            </w:pPr>
          </w:p>
        </w:tc>
      </w:tr>
    </w:tbl>
    <w:p w:rsidR="008570DB" w:rsidRPr="00852B30" w:rsidRDefault="008570DB" w:rsidP="00D7657C">
      <w:pPr>
        <w:rPr>
          <w:sz w:val="2"/>
          <w:szCs w:val="2"/>
        </w:rPr>
      </w:pPr>
    </w:p>
    <w:sectPr w:rsidR="008570DB" w:rsidRPr="00852B30" w:rsidSect="00594A1A">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displayHorizontalDrawingGridEvery w:val="0"/>
  <w:displayVerticalDrawingGridEvery w:val="0"/>
  <w:doNotUseMarginsForDrawingGridOrigin/>
  <w:noPunctuationKerning/>
  <w:characterSpacingControl w:val="doNotCompress"/>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548A"/>
    <w:rsid w:val="0037749C"/>
    <w:rsid w:val="00380E2F"/>
    <w:rsid w:val="003819DD"/>
    <w:rsid w:val="00390B68"/>
    <w:rsid w:val="00393149"/>
    <w:rsid w:val="003C348F"/>
    <w:rsid w:val="003C7AEA"/>
    <w:rsid w:val="003D29A9"/>
    <w:rsid w:val="003F5460"/>
    <w:rsid w:val="00413714"/>
    <w:rsid w:val="0042082F"/>
    <w:rsid w:val="0044555C"/>
    <w:rsid w:val="00450611"/>
    <w:rsid w:val="004525C3"/>
    <w:rsid w:val="00454C42"/>
    <w:rsid w:val="004565AB"/>
    <w:rsid w:val="00464D4A"/>
    <w:rsid w:val="004812B2"/>
    <w:rsid w:val="004848F1"/>
    <w:rsid w:val="00494D0D"/>
    <w:rsid w:val="004A09EA"/>
    <w:rsid w:val="004B4ED0"/>
    <w:rsid w:val="004C1A72"/>
    <w:rsid w:val="004C320D"/>
    <w:rsid w:val="004D4304"/>
    <w:rsid w:val="004E6EE9"/>
    <w:rsid w:val="004F54D8"/>
    <w:rsid w:val="005229A4"/>
    <w:rsid w:val="005229B9"/>
    <w:rsid w:val="00536008"/>
    <w:rsid w:val="0055362C"/>
    <w:rsid w:val="00555244"/>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7803"/>
    <w:rsid w:val="007A0A92"/>
    <w:rsid w:val="007A2800"/>
    <w:rsid w:val="007B27F2"/>
    <w:rsid w:val="007B5DEA"/>
    <w:rsid w:val="007C2141"/>
    <w:rsid w:val="007D2CB3"/>
    <w:rsid w:val="007E6A7D"/>
    <w:rsid w:val="007F0871"/>
    <w:rsid w:val="007F4019"/>
    <w:rsid w:val="0081129E"/>
    <w:rsid w:val="008122B4"/>
    <w:rsid w:val="00832696"/>
    <w:rsid w:val="00833004"/>
    <w:rsid w:val="00840A44"/>
    <w:rsid w:val="00840F59"/>
    <w:rsid w:val="00844D33"/>
    <w:rsid w:val="00845086"/>
    <w:rsid w:val="00846782"/>
    <w:rsid w:val="00852B30"/>
    <w:rsid w:val="008554B1"/>
    <w:rsid w:val="008570DB"/>
    <w:rsid w:val="00867B77"/>
    <w:rsid w:val="008702B0"/>
    <w:rsid w:val="00885740"/>
    <w:rsid w:val="00893283"/>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657C"/>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4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55244"/>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555244"/>
    <w:rPr>
      <w:rFonts w:ascii="Tahoma" w:hAnsi="Tahoma" w:cs="Tahoma"/>
      <w:sz w:val="16"/>
      <w:szCs w:val="16"/>
    </w:rPr>
  </w:style>
  <w:style w:type="character" w:customStyle="1" w:styleId="a4">
    <w:name w:val="Текст выноски Знак"/>
    <w:basedOn w:val="a0"/>
    <w:link w:val="a3"/>
    <w:uiPriority w:val="99"/>
    <w:semiHidden/>
    <w:rsid w:val="00555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55244"/>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555244"/>
    <w:rPr>
      <w:rFonts w:ascii="Tahoma" w:hAnsi="Tahoma" w:cs="Tahoma"/>
      <w:sz w:val="16"/>
      <w:szCs w:val="16"/>
    </w:rPr>
  </w:style>
  <w:style w:type="character" w:customStyle="1" w:styleId="a4">
    <w:name w:val="Текст выноски Знак"/>
    <w:basedOn w:val="a0"/>
    <w:link w:val="a3"/>
    <w:uiPriority w:val="99"/>
    <w:semiHidden/>
    <w:rsid w:val="005552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4585</Words>
  <Characters>31582</Characters>
  <Application>Microsoft Office Word</Application>
  <DocSecurity>0</DocSecurity>
  <Lines>764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techsupport</cp:lastModifiedBy>
  <cp:revision>6</cp:revision>
  <dcterms:created xsi:type="dcterms:W3CDTF">2025-07-17T09:53:00Z</dcterms:created>
  <dcterms:modified xsi:type="dcterms:W3CDTF">2026-01-14T09:06:00Z</dcterms:modified>
</cp:coreProperties>
</file>